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82" w:rsidRPr="00183482" w:rsidRDefault="00183482" w:rsidP="00183482">
      <w:pPr>
        <w:suppressAutoHyphens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0" cy="911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и задачи внедрения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Используемые в политике понятия и определения.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</w:t>
      </w:r>
      <w:bookmarkStart w:id="0" w:name="_GoBack"/>
      <w:bookmarkEnd w:id="0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ринципы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организации.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политики и круг лиц, попадающих под ее действие.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Определение должностных лиц организации, ответственных за реализацию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и закрепление обязанностей работников и организации, связанных с предупреждением и противодействием коррупции.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перечня реализуемых организацией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антикорруп-ционных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стандартов и процедур и порядок их выполнения (применения).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сотрудников за несоблюдение требований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политики.</w:t>
      </w:r>
    </w:p>
    <w:p w:rsidR="00183482" w:rsidRPr="00183482" w:rsidRDefault="00183482" w:rsidP="00183482">
      <w:pPr>
        <w:numPr>
          <w:ilvl w:val="0"/>
          <w:numId w:val="1"/>
        </w:numPr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пересмотра и внесения изменений в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антикоррупционную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политику организации.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482" w:rsidRPr="00183482" w:rsidRDefault="00183482" w:rsidP="00183482">
      <w:pPr>
        <w:pageBreakBefore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1. Цели и задачи внедрения </w:t>
      </w:r>
      <w:proofErr w:type="spellStart"/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политики</w:t>
      </w:r>
    </w:p>
    <w:p w:rsidR="00183482" w:rsidRPr="00183482" w:rsidRDefault="00183482" w:rsidP="00183482">
      <w:pPr>
        <w:keepNext/>
        <w:tabs>
          <w:tab w:val="num" w:pos="0"/>
          <w:tab w:val="left" w:pos="567"/>
        </w:tabs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  <w:tab w:val="left" w:pos="14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proofErr w:type="spellStart"/>
      <w:r w:rsidRPr="00183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Антикоррупционная</w:t>
      </w:r>
      <w:proofErr w:type="spellEnd"/>
      <w:r w:rsidRPr="00183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политика в КГБУЗ «Каменская центральная районная больница» (далее– </w:t>
      </w:r>
      <w:proofErr w:type="gramStart"/>
      <w:r w:rsidRPr="00183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«м</w:t>
      </w:r>
      <w:proofErr w:type="gramEnd"/>
      <w:r w:rsidRPr="00183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едицинская организация»)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8 г"/>
        </w:smartTagPr>
        <w:r w:rsidRPr="0018348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2008 г</w:t>
        </w:r>
      </w:smartTag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 273-ФЗ «О противодействии коррупции» (далее – «Федеральный закон № 273-ФЗ»).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</w:t>
      </w: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еры по предупреждению коррупции: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сотрудничество организации с правоохранительными органами;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разработка и внедрение в практику стандартов и процедур, направленных на обеспечение добросовестной работы организации;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 принятие кодекса этики и служебного поведения работников организации;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предотвращение и урегулирование конфликта интересов;</w:t>
      </w:r>
    </w:p>
    <w:p w:rsidR="00183482" w:rsidRPr="00183482" w:rsidRDefault="00183482" w:rsidP="0018348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 недопущение составления неофициальной отчетности и использования поддельных документов.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Антикоррупционная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 медицинской организации направлена на реализацию данных мер.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 Термины и определения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№ 273-ФЗ).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№ 273-ФЗ):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 по минимизации и (или) ликвидации последствий коррупционных правонарушений.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83482" w:rsidRPr="00183482" w:rsidRDefault="00183482" w:rsidP="001834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(представителем организации) которой он является.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3. Основные принципы </w:t>
      </w:r>
      <w:proofErr w:type="spellStart"/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деятельности медицинской организации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>Система мер противодействия коррупции в медицинской организации основывается на следующих ключевых принципах: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соответствия политики организации действующему законодательству Российской Федерации и общепринятым нормам.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реализуемых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личного примера руководства.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Ключевая роль руководства медицинской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вовлеченности работников</w:t>
      </w:r>
      <w:r w:rsidRPr="0018348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Информированность работников медицинской организации о положениях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законодательства и их активное участие в формировании и реализации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стандартов и процедур.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соразмерности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 риску коррупции</w:t>
      </w:r>
      <w:r w:rsidRPr="0018348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выполнение комплекса мероприятий, позволяющих снизить вероятность вовлечения медицинской организации, ее руководителей и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эффективности 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</w:t>
      </w:r>
      <w:r w:rsidRPr="0018348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Применение в организации таких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приносят значимый результат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ответственности и неотвратимости наказания</w:t>
      </w:r>
      <w:r w:rsidRPr="0018348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Неотвратимость наказания для работников медицинской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открытости.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стандартах ведения деятельности.</w:t>
      </w:r>
    </w:p>
    <w:p w:rsidR="00183482" w:rsidRPr="00183482" w:rsidRDefault="00183482" w:rsidP="00183482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постоянного контроля и регулярного мониторинга</w:t>
      </w:r>
      <w:r w:rsidRPr="0018348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83482" w:rsidRPr="00183482" w:rsidRDefault="00183482" w:rsidP="0018348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Регулярное осуществление мониторинга эффективности внедренных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стандартов и процедур, а также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исполнением.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Область применения политики и круг лиц, попадающих под действие политики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кругом лиц, попадающих под действие политики, являются работники медицинской организации,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медицинской организации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5. Определение должностных лиц, ответственных за реализацию </w:t>
      </w:r>
      <w:proofErr w:type="spellStart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политики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медицинской организации ответственным за противодействие коррупции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установленных задач, специфики деятельности, штатной численности, организационной структуры, материальных ресурсов является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главный врач.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Задачи, функции и полномочия главного врача в сфере противодействия коррупции определены его Должностной инструкцией.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 обязанности включают в частности: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разработку локальных нормативных актов медицинской организации, направленных на реализацию мер по предупреждению коррупции (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политики, кодекса этики и служебного поведения работников и т.д.);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контрольных мероприятий, направленных на выявление коррупционных правонарушений работниками медицинской организации;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проведения оценки коррупционных рисков;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медицинской организации или иными лицами;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заполнения и рассмотрения деклараций о конфликте интересов;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проведение оценки результатов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и подготовка соответствующих отчетных материалов Министерству здравоохранения Алтайского края.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Определение и закрепление обязанностей работников и медицинской организации, связанных с предупреждением и противодействием коррупции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медицинской организации в связи с предупреждением и противодействием коррупции являются общими для всех. Общими обязанностями работников в связи с предупреждением и противодействием коррупции являются следующие: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воздерживаться от совершения и (или) участия в совершении коррупционных правонарушений в интересах или от имени медицинской организации;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совершить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участвовать в совершении коррупционного правонарушения в интересах или от имени медицинской организации;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информировать главного врача о случаях склонения работника к совершению коррупционных правонарушений;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информировать главного врача о ставшей известной 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сообщить главному врачу или иному ответственному лицу о возможности возникновения либо возникшем у работника конфликте интересов.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эффективного исполнения возложенных на работников обязанностей регламентируются процедуры их соблюдения.      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их положений статьи 57 Трудового кодекса Российской Федерации по соглашению сторон в трудовой договор, заключаемый с работником при приёме его на работу в медицинскую организацию,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Антикоррупционная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политика».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 </w:t>
      </w:r>
    </w:p>
    <w:p w:rsidR="00183482" w:rsidRPr="00183482" w:rsidRDefault="00183482" w:rsidP="00183482">
      <w:pPr>
        <w:keepNext/>
        <w:tabs>
          <w:tab w:val="num" w:pos="0"/>
          <w:tab w:val="left" w:pos="284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7. Установление перечня реализуемых медицинской организацией </w:t>
      </w:r>
      <w:proofErr w:type="spellStart"/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антикоррупционных</w:t>
      </w:r>
      <w:proofErr w:type="spellEnd"/>
      <w:r w:rsidRPr="00183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мероприятий, стандартов и процедур и порядок их выполнения (применения)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4A0"/>
      </w:tblPr>
      <w:tblGrid>
        <w:gridCol w:w="851"/>
        <w:gridCol w:w="3685"/>
        <w:gridCol w:w="4820"/>
      </w:tblGrid>
      <w:tr w:rsidR="00183482" w:rsidRPr="00183482" w:rsidTr="00183482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Мероприятие</w:t>
            </w:r>
          </w:p>
        </w:tc>
      </w:tr>
    </w:tbl>
    <w:p w:rsidR="00183482" w:rsidRPr="00183482" w:rsidRDefault="00183482" w:rsidP="00183482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ook w:val="04A0"/>
      </w:tblPr>
      <w:tblGrid>
        <w:gridCol w:w="851"/>
        <w:gridCol w:w="3685"/>
        <w:gridCol w:w="4820"/>
      </w:tblGrid>
      <w:tr w:rsidR="00183482" w:rsidRPr="00183482" w:rsidTr="00183482">
        <w:trPr>
          <w:trHeight w:val="35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183482" w:rsidRPr="00183482" w:rsidTr="00183482">
        <w:trPr>
          <w:trHeight w:val="4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Нормативное обеспечение, закрепление стандартов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по-ведения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декларация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наме-рений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и принятие кодекса этики и служебного поведения работников медицинской организации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введение в договоры, связанные с хозяйственной деятельностью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орга-низации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стандартной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антикоррупци-онной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оговорки</w:t>
            </w:r>
          </w:p>
        </w:tc>
      </w:tr>
      <w:tr w:rsidR="00183482" w:rsidRPr="00183482" w:rsidTr="00183482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введение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антикоррупционных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поло-жений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трудовые договоры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работ-ников</w:t>
            </w:r>
            <w:proofErr w:type="spellEnd"/>
          </w:p>
        </w:tc>
      </w:tr>
      <w:tr w:rsidR="00183482" w:rsidRPr="00183482" w:rsidTr="00183482">
        <w:trPr>
          <w:trHeight w:val="4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Разработка и введение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спе-циальных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антикоррупцион-ных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процедур</w:t>
            </w: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введение процедуры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информирова-ния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правона-рушений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другими работниками, контрагентами организации или иными лицами и порядка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рассмо-трения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таких сообщений, включая создание доступных каналов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пере-дачи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введение процедуры информирования работниками работодателя о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возник-новении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конфликта интересов и </w:t>
            </w: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порядка урегулирования выявленного конфликта интересов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введение процедур защиты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работ-ников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периодической оценки коррупционных рисков в целях выявления сфер деятельности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орга-низации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наиболее подверженных таким рискам, и разработки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соответ-ствующих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антикоррупционных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</w:t>
            </w:r>
          </w:p>
        </w:tc>
      </w:tr>
      <w:tr w:rsidR="00183482" w:rsidRPr="00183482" w:rsidTr="00183482">
        <w:trPr>
          <w:trHeight w:val="4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Обучение и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информиро-вание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работников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ежегодное ознакомление работников под роспись с </w:t>
            </w:r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нормативными</w:t>
            </w:r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доку-ментами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регламентирующими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вопро-сы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предупреждения и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противо-действия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коррупции в организации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индивидуального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кон-сультирования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работников по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вопро-сам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применения (соблюдения)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анти-коррупционных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стандартов и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проце-дур</w:t>
            </w:r>
            <w:proofErr w:type="spellEnd"/>
          </w:p>
        </w:tc>
      </w:tr>
      <w:tr w:rsidR="00183482" w:rsidRPr="00183482" w:rsidTr="00183482">
        <w:trPr>
          <w:trHeight w:val="4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соответствия системы внутреннего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конт-роля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аудита организации требованиям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антикоррупци-онной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политики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организа-ции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осуществление регулярного контроля соблюдения внутренних процедур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осуществление регулярного контроля экономической обоснованности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рас-ходов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сферах с высоким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корруп-ционным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риском: обмен деловыми подарками, представительские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расхо-ды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благотворительные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пожертвова-ния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вознаграждения внешним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кон-сультантам</w:t>
            </w:r>
            <w:proofErr w:type="spellEnd"/>
          </w:p>
        </w:tc>
      </w:tr>
      <w:tr w:rsidR="00183482" w:rsidRPr="00183482" w:rsidTr="00183482">
        <w:trPr>
          <w:trHeight w:val="4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результатов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прово-димой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антикоррупционной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работы и распространение </w:t>
            </w: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отчетных материалов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проведение регулярной оценки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ре-зультатов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работы по </w:t>
            </w:r>
            <w:proofErr w:type="spell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противодейст-вию</w:t>
            </w:r>
            <w:proofErr w:type="spell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коррупции</w:t>
            </w:r>
          </w:p>
        </w:tc>
      </w:tr>
      <w:tr w:rsidR="00183482" w:rsidRPr="00183482" w:rsidTr="00183482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3482" w:rsidRPr="00183482" w:rsidRDefault="00183482" w:rsidP="0018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482" w:rsidRPr="00183482" w:rsidRDefault="00183482" w:rsidP="0018348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и распространение </w:t>
            </w:r>
            <w:proofErr w:type="spellStart"/>
            <w:proofErr w:type="gramStart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отчет-ных</w:t>
            </w:r>
            <w:proofErr w:type="spellEnd"/>
            <w:proofErr w:type="gramEnd"/>
            <w:r w:rsidRPr="001834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материалов о проводимой работе и достигнутых результатах в сфере противодействия коррупции</w:t>
            </w:r>
          </w:p>
        </w:tc>
      </w:tr>
    </w:tbl>
    <w:p w:rsidR="00183482" w:rsidRPr="00183482" w:rsidRDefault="00183482" w:rsidP="00183482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183482" w:rsidRPr="00183482" w:rsidRDefault="00183482" w:rsidP="00183482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8. Оценка коррупционных рисков</w:t>
      </w:r>
    </w:p>
    <w:p w:rsidR="00183482" w:rsidRPr="00183482" w:rsidRDefault="00183482" w:rsidP="00183482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оценки коррупционных рисков является определение конкретных процессов и видов деятельности медицинской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правонарушений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в целях получения личной выгоды, так и в целях получения выгоды медицинской организацией.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проведения оценки коррупционных рисков: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представить деятельности медицинской организации в виде отдельных процессов, в каждом из которых выделить составные элементы;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выделить «критические точки» – для каждого процесса определить элементы, при реализации которых наиболее вероятно возникновение коррупционных правонарушений;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каждого элемента,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83482" w:rsidRPr="00183482" w:rsidRDefault="00183482" w:rsidP="00183482">
      <w:pPr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характеристику выгоды или преимущества, которое может быть получено медицинской организацией или ее отдельными работниками при совершении «коррупционного правонарушения»;</w:t>
      </w:r>
    </w:p>
    <w:p w:rsidR="00183482" w:rsidRPr="00183482" w:rsidRDefault="00183482" w:rsidP="00183482">
      <w:pPr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должности в медицинской организации, которые являются «ключевыми» для совершения коррупционного правонарушения – участие каких должностных лиц медицинской организации необходимо, чтобы совершение коррупционного правонарушения стало возможным;</w:t>
      </w:r>
    </w:p>
    <w:p w:rsidR="00183482" w:rsidRPr="00183482" w:rsidRDefault="00183482" w:rsidP="00183482">
      <w:pPr>
        <w:tabs>
          <w:tab w:val="left" w:pos="2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вероятные формы осуществления коррупционных платежей;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разработать комплекс мер по устранению или минимизации коррупционных рисков.  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adjustRightInd w:val="0"/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3482">
        <w:rPr>
          <w:rFonts w:ascii="Times New Roman" w:eastAsia="TimesNewRomanPSMT" w:hAnsi="Times New Roman" w:cs="Times New Roman"/>
          <w:b/>
          <w:sz w:val="28"/>
          <w:szCs w:val="28"/>
        </w:rPr>
        <w:t>9. Конфликт интересов</w:t>
      </w:r>
    </w:p>
    <w:p w:rsidR="00183482" w:rsidRPr="00183482" w:rsidRDefault="00183482" w:rsidP="00183482">
      <w:pPr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Работники в целях раскрытия и урегулирования конфликта интересов обязаны: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принятии решений по деловым вопросам и выполнении своих трудовых обязанностей руководствоваться интересами медицинской организации – без учета своих личных интересов, интересов своих родственников и друзей;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избегать (по возможности) ситуаций и обстоятельств, которые могут привести к конфликту интересов;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раскрывать возникший (реальный) или потенциальный конфликт интересов;</w:t>
      </w:r>
    </w:p>
    <w:p w:rsidR="00183482" w:rsidRPr="00183482" w:rsidRDefault="00183482" w:rsidP="0018348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содействовать урегулированию возникшего конфликта интересов.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Медицинская организация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Поступившая информация подлежит тщательной проверке уполномоченным на это должностным лицом с целью оценки серьезности возникающих для медицинской организации рисков и выбора наиболее подходящей формы урегулирования конфликта интересов.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разрешения конфликта интересов: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пересмотр и изменение функциональных обязанностей работника;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работника от своего личного интереса, порождающего конфликт с интересами медицинской организации;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увольнение работника из медицинской организации по инициативе работника;</w:t>
      </w:r>
    </w:p>
    <w:p w:rsidR="00183482" w:rsidRPr="00183482" w:rsidRDefault="00183482" w:rsidP="00183482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83482" w:rsidRPr="00183482" w:rsidRDefault="00183482" w:rsidP="00183482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медицинской организации и работника, раскрывшего сведения о конфликте интересов, могут быть найдены иные формы его урегулирования.</w:t>
      </w: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главный врач. Рассмотрение полученной информации проводится коллегиально </w:t>
      </w:r>
    </w:p>
    <w:p w:rsidR="00183482" w:rsidRPr="00183482" w:rsidRDefault="00183482" w:rsidP="00183482">
      <w:pPr>
        <w:keepNext/>
        <w:tabs>
          <w:tab w:val="num" w:pos="0"/>
        </w:tabs>
        <w:suppressAutoHyphens/>
        <w:spacing w:after="0" w:line="240" w:lineRule="auto"/>
        <w:ind w:firstLine="624"/>
        <w:jc w:val="both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10. </w:t>
      </w:r>
      <w:proofErr w:type="gramStart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Обучение работников по вопросам</w:t>
      </w:r>
      <w:proofErr w:type="gramEnd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профилактики и противодействия коррупции</w:t>
      </w:r>
    </w:p>
    <w:p w:rsidR="00183482" w:rsidRPr="00183482" w:rsidRDefault="00183482" w:rsidP="00183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142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Цели и задачи обучения определяют тематику и форму занятий. Обучение  проводится по следующей тематике: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коррупция в государственном и частном секторах экономики (теоретическая);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юридическая ответственность за совершение коррупционных правонарушений; 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прикладная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и разрешение конфликта интересов при выполнении трудовых обязанностей (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прикладная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83482" w:rsidRPr="00183482" w:rsidRDefault="00183482" w:rsidP="00183482">
      <w:pPr>
        <w:tabs>
          <w:tab w:val="num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прикладная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3482" w:rsidRPr="00183482" w:rsidRDefault="00183482" w:rsidP="00183482">
      <w:pPr>
        <w:tabs>
          <w:tab w:val="num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Применяются следующие виды обучения:</w:t>
      </w:r>
    </w:p>
    <w:p w:rsidR="00183482" w:rsidRPr="00183482" w:rsidRDefault="00183482" w:rsidP="00183482">
      <w:pPr>
        <w:widowControl w:val="0"/>
        <w:tabs>
          <w:tab w:val="num" w:pos="142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по вопросам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профилактики и противодействия коррупции непосредственно после приема на работу;</w:t>
      </w:r>
    </w:p>
    <w:p w:rsidR="00183482" w:rsidRPr="00183482" w:rsidRDefault="00183482" w:rsidP="00183482">
      <w:pPr>
        <w:widowControl w:val="0"/>
        <w:tabs>
          <w:tab w:val="num" w:pos="142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83482" w:rsidRPr="00183482" w:rsidRDefault="00183482" w:rsidP="00183482">
      <w:pPr>
        <w:widowControl w:val="0"/>
        <w:tabs>
          <w:tab w:val="num" w:pos="142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периодическое обучение работников медицинской организации с целью поддержания их знаний и навыков в сфере противодействия коррупции на должном уровне;</w:t>
      </w:r>
    </w:p>
    <w:p w:rsidR="00183482" w:rsidRPr="00183482" w:rsidRDefault="00183482" w:rsidP="00183482">
      <w:pPr>
        <w:widowControl w:val="0"/>
        <w:tabs>
          <w:tab w:val="num" w:pos="142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дополнительное обучение в случае выявления провалов в реализации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83482" w:rsidRPr="00183482" w:rsidRDefault="00183482" w:rsidP="00183482">
      <w:pPr>
        <w:tabs>
          <w:tab w:val="num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Консультирование по вопросам противодействия коррупции осуществляется в индивидуальном порядке.  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 Внутренний контроль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 декабря 2011 г. № 402-ФЗ «О бухгалтерском учете». </w:t>
      </w:r>
    </w:p>
    <w:p w:rsidR="00183482" w:rsidRPr="00183482" w:rsidRDefault="00183482" w:rsidP="00183482">
      <w:pPr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Внутренний контроль проводится с учетом требований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политики, реализуемой в медицинской организации, в том числе путем:</w:t>
      </w:r>
    </w:p>
    <w:p w:rsidR="00183482" w:rsidRPr="00183482" w:rsidRDefault="00183482" w:rsidP="00183482">
      <w:pPr>
        <w:tabs>
          <w:tab w:val="num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83482" w:rsidRPr="00183482" w:rsidRDefault="00183482" w:rsidP="00183482">
      <w:pPr>
        <w:tabs>
          <w:tab w:val="num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документирования операций хозяйственной деятельности медицинской организации;</w:t>
      </w:r>
    </w:p>
    <w:p w:rsidR="00183482" w:rsidRPr="00183482" w:rsidRDefault="00183482" w:rsidP="00183482">
      <w:pPr>
        <w:tabs>
          <w:tab w:val="num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 экономической обоснованности осуществляемых операций в сферах коррупционного риска.</w:t>
      </w:r>
    </w:p>
    <w:p w:rsidR="00183482" w:rsidRPr="00183482" w:rsidRDefault="00183482" w:rsidP="00183482">
      <w:pPr>
        <w:tabs>
          <w:tab w:val="num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документирования операций хозяйственной </w:t>
      </w:r>
      <w:proofErr w:type="gram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</w:t>
      </w:r>
      <w:proofErr w:type="gram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 т.д.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12. Ответственность работников за несоблюдение требований </w:t>
      </w:r>
      <w:proofErr w:type="spellStart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политики</w:t>
      </w:r>
    </w:p>
    <w:p w:rsidR="00183482" w:rsidRPr="00183482" w:rsidRDefault="00183482" w:rsidP="00183482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83482">
        <w:rPr>
          <w:rFonts w:ascii="Times New Roman" w:eastAsia="TimesNewRomanPSMT" w:hAnsi="Times New Roman" w:cs="Times New Roman"/>
          <w:sz w:val="28"/>
          <w:szCs w:val="28"/>
        </w:rPr>
        <w:t xml:space="preserve">Работники медицинской организации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(статья 13 Федерального закона № 273-ФЗ). </w:t>
      </w:r>
    </w:p>
    <w:p w:rsidR="00183482" w:rsidRPr="00183482" w:rsidRDefault="00183482" w:rsidP="00183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13. Порядок пересмотра и внесения изменений в </w:t>
      </w:r>
      <w:proofErr w:type="spellStart"/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антикоррупционную</w:t>
      </w:r>
      <w:proofErr w:type="spellEnd"/>
      <w:r w:rsidRPr="001834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политику </w:t>
      </w:r>
    </w:p>
    <w:p w:rsidR="00183482" w:rsidRPr="00183482" w:rsidRDefault="00183482" w:rsidP="00183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3482" w:rsidRPr="00183482" w:rsidRDefault="00183482" w:rsidP="00183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</w:t>
      </w:r>
      <w:proofErr w:type="spellStart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антикоррупционной</w:t>
      </w:r>
      <w:proofErr w:type="spellEnd"/>
      <w:r w:rsidRPr="0018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политики может осуществляться путем разработки дополнений и приложений к данному акту.</w:t>
      </w:r>
    </w:p>
    <w:p w:rsidR="00183482" w:rsidRPr="00183482" w:rsidRDefault="00183482" w:rsidP="001834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E4A" w:rsidRDefault="006A3E4A"/>
    <w:sectPr w:rsidR="006A3E4A" w:rsidSect="006A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4EFC67A4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i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482"/>
    <w:rsid w:val="00183482"/>
    <w:rsid w:val="006A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4A"/>
  </w:style>
  <w:style w:type="paragraph" w:styleId="1">
    <w:name w:val="heading 1"/>
    <w:basedOn w:val="a"/>
    <w:next w:val="a"/>
    <w:link w:val="10"/>
    <w:uiPriority w:val="99"/>
    <w:qFormat/>
    <w:rsid w:val="00183482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3482"/>
    <w:pPr>
      <w:keepNext/>
      <w:tabs>
        <w:tab w:val="num" w:pos="0"/>
      </w:tabs>
      <w:suppressAutoHyphens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48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83482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1834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18348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3480</Words>
  <Characters>19837</Characters>
  <Application>Microsoft Office Word</Application>
  <DocSecurity>0</DocSecurity>
  <Lines>165</Lines>
  <Paragraphs>46</Paragraphs>
  <ScaleCrop>false</ScaleCrop>
  <Company/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2017-10-02T09:07:00Z</dcterms:created>
  <dcterms:modified xsi:type="dcterms:W3CDTF">2017-10-02T09:07:00Z</dcterms:modified>
</cp:coreProperties>
</file>